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3123" w:rsidRPr="00842BDB" w:rsidRDefault="002453CF" w:rsidP="00842BDB">
      <w:pPr>
        <w:spacing w:after="0" w:line="360" w:lineRule="auto"/>
        <w:rPr>
          <w:rFonts w:ascii="FrankRuehl" w:eastAsia="Times New Roman" w:hAnsi="FrankRuehl" w:cs="FrankRuehl"/>
          <w:sz w:val="16"/>
          <w:szCs w:val="16"/>
        </w:rPr>
      </w:pPr>
      <w:r w:rsidRPr="00842BDB">
        <w:rPr>
          <w:rFonts w:ascii="FrankRuehl" w:hAnsi="FrankRuehl" w:cs="FrankRuehl"/>
          <w:b/>
          <w:bCs/>
          <w:sz w:val="24"/>
          <w:szCs w:val="24"/>
          <w:rtl/>
        </w:rPr>
        <w:t xml:space="preserve">                                 </w:t>
      </w:r>
      <w:r w:rsidR="006B7B96" w:rsidRPr="00842BDB">
        <w:rPr>
          <w:rFonts w:ascii="FrankRuehl" w:hAnsi="FrankRuehl" w:cs="FrankRuehl"/>
          <w:b/>
          <w:bCs/>
          <w:sz w:val="24"/>
          <w:szCs w:val="24"/>
          <w:rtl/>
        </w:rPr>
        <w:t xml:space="preserve">           </w:t>
      </w:r>
      <w:r w:rsidR="00631744" w:rsidRPr="00842BDB">
        <w:rPr>
          <w:rFonts w:ascii="FrankRuehl" w:hAnsi="FrankRuehl" w:cs="FrankRuehl"/>
          <w:b/>
          <w:bCs/>
          <w:sz w:val="24"/>
          <w:szCs w:val="24"/>
          <w:rtl/>
        </w:rPr>
        <w:t xml:space="preserve">           </w:t>
      </w:r>
      <w:r w:rsidR="006C3B1F" w:rsidRPr="00842BDB">
        <w:rPr>
          <w:rFonts w:ascii="FrankRuehl" w:hAnsi="FrankRuehl" w:cs="FrankRuehl"/>
          <w:b/>
          <w:bCs/>
          <w:sz w:val="24"/>
          <w:szCs w:val="24"/>
          <w:rtl/>
        </w:rPr>
        <w:t xml:space="preserve">   </w:t>
      </w:r>
      <w:r w:rsidRPr="00842BDB">
        <w:rPr>
          <w:rFonts w:ascii="FrankRuehl" w:hAnsi="FrankRuehl" w:cs="FrankRuehl"/>
          <w:b/>
          <w:bCs/>
          <w:sz w:val="24"/>
          <w:szCs w:val="24"/>
          <w:rtl/>
        </w:rPr>
        <w:t xml:space="preserve">  </w:t>
      </w:r>
      <w:r w:rsidR="001D42A7" w:rsidRPr="00842BDB">
        <w:rPr>
          <w:rFonts w:ascii="FrankRuehl" w:hAnsi="FrankRuehl" w:cs="FrankRuehl"/>
          <w:b/>
          <w:bCs/>
          <w:rtl/>
        </w:rPr>
        <w:t xml:space="preserve">  </w:t>
      </w:r>
    </w:p>
    <w:p w:rsidR="008C15BA" w:rsidRPr="00842BDB" w:rsidRDefault="008C15BA" w:rsidP="00842BDB">
      <w:pPr>
        <w:spacing w:after="0" w:line="360" w:lineRule="auto"/>
        <w:jc w:val="right"/>
        <w:rPr>
          <w:rFonts w:ascii="FrankRuehl" w:eastAsia="Times New Roman" w:hAnsi="FrankRuehl" w:cs="FrankRuehl"/>
          <w:sz w:val="16"/>
          <w:szCs w:val="16"/>
          <w:rtl/>
        </w:rPr>
      </w:pPr>
      <w:r w:rsidRPr="00842BDB">
        <w:rPr>
          <w:rFonts w:ascii="FrankRuehl" w:eastAsia="Times New Roman" w:hAnsi="FrankRuehl" w:cs="FrankRuehl"/>
          <w:sz w:val="16"/>
          <w:szCs w:val="16"/>
          <w:rtl/>
        </w:rPr>
        <w:t>‏14 אוקטובר 2024</w:t>
      </w:r>
    </w:p>
    <w:p w:rsidR="008C15BA" w:rsidRPr="00842BDB" w:rsidRDefault="008C15BA" w:rsidP="00842BDB">
      <w:pPr>
        <w:spacing w:after="0" w:line="360" w:lineRule="auto"/>
        <w:jc w:val="right"/>
        <w:rPr>
          <w:rFonts w:ascii="FrankRuehl" w:eastAsia="Times New Roman" w:hAnsi="FrankRuehl" w:cs="FrankRuehl"/>
          <w:sz w:val="16"/>
          <w:szCs w:val="16"/>
          <w:rtl/>
        </w:rPr>
      </w:pPr>
      <w:r w:rsidRPr="00842BDB">
        <w:rPr>
          <w:rFonts w:ascii="FrankRuehl" w:eastAsia="Times New Roman" w:hAnsi="FrankRuehl" w:cs="FrankRuehl"/>
          <w:sz w:val="16"/>
          <w:szCs w:val="16"/>
          <w:rtl/>
        </w:rPr>
        <w:t>‏י"ב תשרי תשפ"ה</w:t>
      </w:r>
    </w:p>
    <w:p w:rsidR="00983123" w:rsidRPr="00842BDB" w:rsidRDefault="00983123" w:rsidP="00842BDB">
      <w:pPr>
        <w:spacing w:after="0" w:line="360" w:lineRule="auto"/>
        <w:jc w:val="right"/>
        <w:rPr>
          <w:rFonts w:ascii="FrankRuehl" w:eastAsia="Times New Roman" w:hAnsi="FrankRuehl" w:cs="FrankRuehl"/>
          <w:sz w:val="24"/>
          <w:szCs w:val="24"/>
          <w:rtl/>
        </w:rPr>
      </w:pPr>
      <w:r w:rsidRPr="00842BDB">
        <w:rPr>
          <w:rFonts w:ascii="FrankRuehl" w:eastAsia="Times New Roman" w:hAnsi="FrankRuehl" w:cs="FrankRuehl"/>
          <w:sz w:val="16"/>
          <w:szCs w:val="16"/>
          <w:rtl/>
        </w:rPr>
        <w:fldChar w:fldCharType="begin"/>
      </w:r>
      <w:r w:rsidRPr="00842BDB">
        <w:rPr>
          <w:rFonts w:ascii="FrankRuehl" w:eastAsia="Times New Roman" w:hAnsi="FrankRuehl" w:cs="FrankRuehl"/>
          <w:sz w:val="16"/>
          <w:szCs w:val="16"/>
          <w:rtl/>
        </w:rPr>
        <w:instrText xml:space="preserve"> </w:instrText>
      </w:r>
      <w:r w:rsidRPr="00842BDB">
        <w:rPr>
          <w:rFonts w:ascii="FrankRuehl" w:eastAsia="Times New Roman" w:hAnsi="FrankRuehl" w:cs="FrankRuehl"/>
          <w:sz w:val="16"/>
          <w:szCs w:val="16"/>
        </w:rPr>
        <w:instrText>DOCPROPERTY  DocNumber  \* MERGEFORMAT</w:instrText>
      </w:r>
      <w:r w:rsidRPr="00842BDB">
        <w:rPr>
          <w:rFonts w:ascii="FrankRuehl" w:eastAsia="Times New Roman" w:hAnsi="FrankRuehl" w:cs="FrankRuehl"/>
          <w:sz w:val="16"/>
          <w:szCs w:val="16"/>
          <w:rtl/>
        </w:rPr>
        <w:instrText xml:space="preserve"> </w:instrText>
      </w:r>
      <w:r w:rsidRPr="00842BDB">
        <w:rPr>
          <w:rFonts w:ascii="FrankRuehl" w:eastAsia="Times New Roman" w:hAnsi="FrankRuehl" w:cs="FrankRuehl"/>
          <w:sz w:val="16"/>
          <w:szCs w:val="16"/>
          <w:rtl/>
        </w:rPr>
        <w:fldChar w:fldCharType="separate"/>
      </w:r>
      <w:r w:rsidRPr="00842BDB">
        <w:rPr>
          <w:rFonts w:ascii="FrankRuehl" w:eastAsia="Times New Roman" w:hAnsi="FrankRuehl" w:cs="FrankRuehl"/>
          <w:sz w:val="16"/>
          <w:szCs w:val="16"/>
          <w:rtl/>
        </w:rPr>
        <w:t>4700-1039-2024-007603</w:t>
      </w:r>
      <w:r w:rsidRPr="00842BDB">
        <w:rPr>
          <w:rFonts w:ascii="FrankRuehl" w:eastAsia="Times New Roman" w:hAnsi="FrankRuehl" w:cs="FrankRuehl"/>
          <w:sz w:val="16"/>
          <w:szCs w:val="16"/>
          <w:rtl/>
        </w:rPr>
        <w:fldChar w:fldCharType="end"/>
      </w:r>
    </w:p>
    <w:p w:rsidR="00515986" w:rsidRPr="00842BDB" w:rsidRDefault="00515986" w:rsidP="00842BDB">
      <w:pPr>
        <w:spacing w:after="0" w:line="360" w:lineRule="auto"/>
        <w:jc w:val="center"/>
        <w:rPr>
          <w:rFonts w:ascii="FrankRuehl" w:hAnsi="FrankRuehl" w:cs="FrankRuehl"/>
          <w:b/>
          <w:bCs/>
          <w:color w:val="323E4F" w:themeColor="text2" w:themeShade="BF"/>
          <w:sz w:val="32"/>
          <w:szCs w:val="32"/>
          <w:u w:val="single"/>
          <w:rtl/>
        </w:rPr>
      </w:pPr>
    </w:p>
    <w:p w:rsidR="00EA6DF3" w:rsidRPr="00842BDB" w:rsidRDefault="00EA6DF3" w:rsidP="00842BDB">
      <w:pPr>
        <w:spacing w:after="0" w:line="360" w:lineRule="auto"/>
        <w:jc w:val="center"/>
        <w:rPr>
          <w:rFonts w:ascii="FrankRuehl" w:hAnsi="FrankRuehl" w:cs="FrankRuehl"/>
          <w:b/>
          <w:bCs/>
          <w:color w:val="002060"/>
          <w:sz w:val="32"/>
          <w:szCs w:val="32"/>
          <w:u w:val="single"/>
          <w:rtl/>
        </w:rPr>
      </w:pPr>
      <w:r w:rsidRPr="00842BDB">
        <w:rPr>
          <w:rFonts w:ascii="FrankRuehl" w:hAnsi="FrankRuehl" w:cs="FrankRuehl"/>
          <w:b/>
          <w:bCs/>
          <w:color w:val="002060"/>
          <w:sz w:val="32"/>
          <w:szCs w:val="32"/>
          <w:u w:val="single"/>
          <w:rtl/>
        </w:rPr>
        <w:t>תקציר פסק-דין</w:t>
      </w:r>
      <w:r w:rsidR="002E5129" w:rsidRPr="00842BDB">
        <w:rPr>
          <w:rFonts w:ascii="FrankRuehl" w:hAnsi="FrankRuehl" w:cs="FrankRuehl"/>
          <w:b/>
          <w:bCs/>
          <w:color w:val="002060"/>
          <w:sz w:val="32"/>
          <w:szCs w:val="32"/>
          <w:u w:val="single"/>
          <w:rtl/>
        </w:rPr>
        <w:t xml:space="preserve"> </w:t>
      </w:r>
    </w:p>
    <w:p w:rsidR="00EA6DF3" w:rsidRPr="00842BDB" w:rsidRDefault="00EA6DF3" w:rsidP="00842BDB">
      <w:pPr>
        <w:spacing w:after="0" w:line="360" w:lineRule="auto"/>
        <w:jc w:val="center"/>
        <w:rPr>
          <w:rFonts w:ascii="FrankRuehl" w:hAnsi="FrankRuehl" w:cs="FrankRuehl"/>
          <w:b/>
          <w:bCs/>
          <w:color w:val="002060"/>
          <w:sz w:val="32"/>
          <w:szCs w:val="32"/>
          <w:u w:val="single"/>
          <w:rtl/>
        </w:rPr>
      </w:pPr>
      <w:r w:rsidRPr="00842BDB">
        <w:rPr>
          <w:rFonts w:ascii="FrankRuehl" w:hAnsi="FrankRuehl" w:cs="FrankRuehl"/>
          <w:b/>
          <w:bCs/>
          <w:color w:val="002060"/>
          <w:sz w:val="32"/>
          <w:szCs w:val="32"/>
          <w:u w:val="single"/>
          <w:rtl/>
        </w:rPr>
        <w:t xml:space="preserve">תיק </w:t>
      </w:r>
      <w:proofErr w:type="spellStart"/>
      <w:r w:rsidR="002E5129" w:rsidRPr="00842BDB">
        <w:rPr>
          <w:rFonts w:ascii="FrankRuehl" w:hAnsi="FrankRuehl" w:cs="FrankRuehl"/>
          <w:b/>
          <w:bCs/>
          <w:color w:val="002060"/>
          <w:sz w:val="32"/>
          <w:szCs w:val="32"/>
          <w:u w:val="single"/>
          <w:rtl/>
        </w:rPr>
        <w:t>תלה"מ</w:t>
      </w:r>
      <w:proofErr w:type="spellEnd"/>
      <w:r w:rsidR="002E5129" w:rsidRPr="00842BDB">
        <w:rPr>
          <w:rFonts w:ascii="FrankRuehl" w:hAnsi="FrankRuehl" w:cs="FrankRuehl"/>
          <w:b/>
          <w:bCs/>
          <w:color w:val="002060"/>
          <w:sz w:val="32"/>
          <w:szCs w:val="32"/>
          <w:u w:val="single"/>
          <w:rtl/>
        </w:rPr>
        <w:t xml:space="preserve"> 51498-07-22 </w:t>
      </w:r>
      <w:proofErr w:type="spellStart"/>
      <w:r w:rsidR="002E5129" w:rsidRPr="00842BDB">
        <w:rPr>
          <w:rFonts w:ascii="FrankRuehl" w:hAnsi="FrankRuehl" w:cs="FrankRuehl"/>
          <w:b/>
          <w:bCs/>
          <w:color w:val="002060"/>
          <w:sz w:val="32"/>
          <w:szCs w:val="32"/>
          <w:u w:val="single"/>
          <w:rtl/>
        </w:rPr>
        <w:t>ותלה"מ</w:t>
      </w:r>
      <w:proofErr w:type="spellEnd"/>
      <w:r w:rsidR="002E5129" w:rsidRPr="00842BDB">
        <w:rPr>
          <w:rFonts w:ascii="FrankRuehl" w:hAnsi="FrankRuehl" w:cs="FrankRuehl"/>
          <w:b/>
          <w:bCs/>
          <w:color w:val="002060"/>
          <w:sz w:val="32"/>
          <w:szCs w:val="32"/>
          <w:u w:val="single"/>
          <w:rtl/>
        </w:rPr>
        <w:t xml:space="preserve"> 26151-08-23 </w:t>
      </w:r>
    </w:p>
    <w:p w:rsidR="00EA6DF3" w:rsidRPr="00842BDB" w:rsidRDefault="004537F0" w:rsidP="00842BDB">
      <w:pPr>
        <w:spacing w:after="0" w:line="360" w:lineRule="auto"/>
        <w:jc w:val="center"/>
        <w:rPr>
          <w:rFonts w:ascii="FrankRuehl" w:hAnsi="FrankRuehl" w:cs="FrankRuehl"/>
          <w:b/>
          <w:bCs/>
          <w:color w:val="002060"/>
          <w:sz w:val="32"/>
          <w:szCs w:val="32"/>
          <w:u w:val="single"/>
          <w:rtl/>
        </w:rPr>
      </w:pPr>
      <w:r w:rsidRPr="00842BDB">
        <w:rPr>
          <w:rFonts w:ascii="FrankRuehl" w:hAnsi="FrankRuehl" w:cs="FrankRuehl"/>
          <w:b/>
          <w:bCs/>
          <w:color w:val="002060"/>
          <w:sz w:val="32"/>
          <w:szCs w:val="32"/>
          <w:u w:val="single"/>
          <w:rtl/>
        </w:rPr>
        <w:t xml:space="preserve">בית המשפט לענייני משפחה בקרית גת, </w:t>
      </w:r>
      <w:r w:rsidR="00EA6DF3" w:rsidRPr="00842BDB">
        <w:rPr>
          <w:rFonts w:ascii="FrankRuehl" w:hAnsi="FrankRuehl" w:cs="FrankRuehl"/>
          <w:b/>
          <w:bCs/>
          <w:color w:val="002060"/>
          <w:sz w:val="32"/>
          <w:szCs w:val="32"/>
          <w:u w:val="single"/>
          <w:rtl/>
        </w:rPr>
        <w:t>כבוד השופט</w:t>
      </w:r>
      <w:r w:rsidR="002E5129" w:rsidRPr="00842BDB">
        <w:rPr>
          <w:rFonts w:ascii="FrankRuehl" w:hAnsi="FrankRuehl" w:cs="FrankRuehl"/>
          <w:b/>
          <w:bCs/>
          <w:color w:val="002060"/>
          <w:sz w:val="32"/>
          <w:szCs w:val="32"/>
          <w:u w:val="single"/>
          <w:rtl/>
        </w:rPr>
        <w:t xml:space="preserve"> בן שלו </w:t>
      </w:r>
    </w:p>
    <w:p w:rsidR="00842BDB" w:rsidRPr="00842BDB" w:rsidRDefault="00842BDB" w:rsidP="00842BDB">
      <w:pPr>
        <w:pStyle w:val="a5"/>
        <w:tabs>
          <w:tab w:val="clear" w:pos="4153"/>
          <w:tab w:val="clear" w:pos="8306"/>
        </w:tabs>
        <w:spacing w:line="360" w:lineRule="auto"/>
        <w:ind w:left="357"/>
        <w:jc w:val="both"/>
        <w:rPr>
          <w:rFonts w:ascii="FrankRuehl" w:hAnsi="FrankRuehl" w:cs="FrankRuehl"/>
          <w:b/>
          <w:bCs/>
          <w:sz w:val="26"/>
          <w:szCs w:val="26"/>
          <w:u w:val="single"/>
          <w:rtl/>
        </w:rPr>
      </w:pPr>
    </w:p>
    <w:p w:rsidR="00842BDB" w:rsidRPr="00842BDB" w:rsidRDefault="00842BDB" w:rsidP="00842BDB">
      <w:pPr>
        <w:pStyle w:val="a5"/>
        <w:numPr>
          <w:ilvl w:val="0"/>
          <w:numId w:val="3"/>
        </w:numPr>
        <w:tabs>
          <w:tab w:val="clear" w:pos="4153"/>
          <w:tab w:val="clear" w:pos="8306"/>
        </w:tabs>
        <w:spacing w:line="360" w:lineRule="auto"/>
        <w:jc w:val="both"/>
        <w:rPr>
          <w:rFonts w:ascii="FrankRuehl" w:hAnsi="FrankRuehl" w:cs="FrankRuehl"/>
          <w:sz w:val="24"/>
          <w:szCs w:val="24"/>
          <w:rtl/>
        </w:rPr>
      </w:pPr>
      <w:r w:rsidRPr="00842BDB">
        <w:rPr>
          <w:rFonts w:ascii="FrankRuehl" w:hAnsi="FrankRuehl" w:cs="FrankRuehl"/>
          <w:sz w:val="24"/>
          <w:szCs w:val="24"/>
          <w:rtl/>
        </w:rPr>
        <w:t>ביום 10.10.24 ניתן פסק דין בתובענות שבכותרת. במסגרת פסק הדין אושר מעברם של אם ושלושה ילדים קטינים, בני כשבע, שש וארבע שנים, להתגורר בעיר באזור השרון; זאת, בסמיכות לבני משפחתה הגרעינית של האם, המרוחקת כ-80 ק"מ ממקום מגוריי האב בדרום ישראל.</w:t>
      </w:r>
    </w:p>
    <w:p w:rsidR="00842BDB" w:rsidRPr="00842BDB" w:rsidRDefault="00842BDB" w:rsidP="00842BDB">
      <w:pPr>
        <w:pStyle w:val="a5"/>
        <w:numPr>
          <w:ilvl w:val="0"/>
          <w:numId w:val="3"/>
        </w:numPr>
        <w:tabs>
          <w:tab w:val="clear" w:pos="4153"/>
          <w:tab w:val="clear" w:pos="8306"/>
        </w:tabs>
        <w:spacing w:line="360" w:lineRule="auto"/>
        <w:jc w:val="both"/>
        <w:rPr>
          <w:rFonts w:ascii="FrankRuehl" w:hAnsi="FrankRuehl" w:cs="FrankRuehl"/>
          <w:sz w:val="24"/>
          <w:szCs w:val="24"/>
          <w:rtl/>
        </w:rPr>
      </w:pPr>
      <w:r w:rsidRPr="00842BDB">
        <w:rPr>
          <w:rFonts w:ascii="FrankRuehl" w:hAnsi="FrankRuehl" w:cs="FrankRuehl"/>
          <w:sz w:val="24"/>
          <w:szCs w:val="24"/>
          <w:rtl/>
        </w:rPr>
        <w:t xml:space="preserve">בליל 2.2.23 פרץ גבר לדירתה של האם בגדרה – דירה אליה עברה זמן קצר בלבד לפני כן עם שלושה ילדים רכים בשנים – ובאכזריות אנס אותה בעת שהילדים עצמם שהו בדירה וכפי הנראה לכל הפחות חלקם אף היו עדים ולו לחלק מן האירוע. אותה העת היו האם ובן זוגה לשעבר, אבי הילדים, בעיצומם של הליכים משפטיים בעצימות גבוהה. </w:t>
      </w:r>
    </w:p>
    <w:p w:rsidR="00842BDB" w:rsidRPr="00842BDB" w:rsidRDefault="00842BDB" w:rsidP="00842BDB">
      <w:pPr>
        <w:pStyle w:val="a5"/>
        <w:numPr>
          <w:ilvl w:val="0"/>
          <w:numId w:val="3"/>
        </w:numPr>
        <w:tabs>
          <w:tab w:val="clear" w:pos="4153"/>
          <w:tab w:val="clear" w:pos="8306"/>
        </w:tabs>
        <w:spacing w:line="360" w:lineRule="auto"/>
        <w:jc w:val="both"/>
        <w:rPr>
          <w:rFonts w:ascii="FrankRuehl" w:hAnsi="FrankRuehl" w:cs="FrankRuehl"/>
          <w:sz w:val="24"/>
          <w:szCs w:val="24"/>
          <w:rtl/>
        </w:rPr>
      </w:pPr>
      <w:r w:rsidRPr="00842BDB">
        <w:rPr>
          <w:rFonts w:ascii="FrankRuehl" w:hAnsi="FrankRuehl" w:cs="FrankRuehl"/>
          <w:sz w:val="24"/>
          <w:szCs w:val="24"/>
          <w:rtl/>
        </w:rPr>
        <w:t>בעקבות האונס ומשלא יכלה האם לשאת את השהייה בבית בגדרה, עברה היא להתגורר לצד בני משפחתה הגרעינית בעיר שבשרון, עת האב נותר להתגורר באזור הדרום. מעברם של הקטינים להתגורר לצד האם בשרון אושר בהחלטה שיפוטית באופן זמני, נוכח התנגדותו של האב.</w:t>
      </w:r>
    </w:p>
    <w:p w:rsidR="00842BDB" w:rsidRPr="00842BDB" w:rsidRDefault="00842BDB" w:rsidP="00842BDB">
      <w:pPr>
        <w:pStyle w:val="a5"/>
        <w:numPr>
          <w:ilvl w:val="0"/>
          <w:numId w:val="3"/>
        </w:numPr>
        <w:tabs>
          <w:tab w:val="clear" w:pos="4153"/>
          <w:tab w:val="clear" w:pos="8306"/>
        </w:tabs>
        <w:spacing w:line="360" w:lineRule="auto"/>
        <w:jc w:val="both"/>
        <w:rPr>
          <w:rFonts w:ascii="FrankRuehl" w:hAnsi="FrankRuehl" w:cs="FrankRuehl"/>
          <w:sz w:val="24"/>
          <w:szCs w:val="24"/>
          <w:rtl/>
        </w:rPr>
      </w:pPr>
      <w:r w:rsidRPr="00842BDB">
        <w:rPr>
          <w:rFonts w:ascii="FrankRuehl" w:hAnsi="FrankRuehl" w:cs="FrankRuehl"/>
          <w:sz w:val="24"/>
          <w:szCs w:val="24"/>
          <w:rtl/>
        </w:rPr>
        <w:t>בעניין הצדדים הוגשו תסקירים מטעם גורמי הרווחה, שהמליצו ככלל על מעבר הקטינים והאם לעיר שבשרון ולבקשת האב מצא בית המשפט למנות מומחה לבחינת הסוגיה.</w:t>
      </w:r>
    </w:p>
    <w:p w:rsidR="00842BDB" w:rsidRPr="00842BDB" w:rsidRDefault="00842BDB" w:rsidP="00842BDB">
      <w:pPr>
        <w:pStyle w:val="a5"/>
        <w:numPr>
          <w:ilvl w:val="0"/>
          <w:numId w:val="3"/>
        </w:numPr>
        <w:tabs>
          <w:tab w:val="clear" w:pos="4153"/>
          <w:tab w:val="clear" w:pos="8306"/>
        </w:tabs>
        <w:spacing w:line="360" w:lineRule="auto"/>
        <w:jc w:val="both"/>
        <w:rPr>
          <w:rFonts w:ascii="FrankRuehl" w:hAnsi="FrankRuehl" w:cs="FrankRuehl"/>
          <w:sz w:val="24"/>
          <w:szCs w:val="24"/>
        </w:rPr>
      </w:pPr>
      <w:r w:rsidRPr="00842BDB">
        <w:rPr>
          <w:rFonts w:ascii="FrankRuehl" w:hAnsi="FrankRuehl" w:cs="FrankRuehl"/>
          <w:sz w:val="24"/>
          <w:szCs w:val="24"/>
          <w:rtl/>
        </w:rPr>
        <w:t>בחוות דעתו, הגם שהמומחה עמד על מאפיינים מורכבים בהתנהלותו של האב, המליץ המומחה על השבת הקטינים להתגורר באזור השפלה, בדומה למצב שהיה קיים לפני האונס האכזרי שעברה האם.</w:t>
      </w:r>
    </w:p>
    <w:p w:rsidR="00842BDB" w:rsidRPr="00842BDB" w:rsidRDefault="00842BDB" w:rsidP="00842BDB">
      <w:pPr>
        <w:pStyle w:val="a5"/>
        <w:tabs>
          <w:tab w:val="clear" w:pos="4153"/>
          <w:tab w:val="clear" w:pos="8306"/>
        </w:tabs>
        <w:spacing w:line="360" w:lineRule="auto"/>
        <w:ind w:left="1077"/>
        <w:jc w:val="both"/>
        <w:rPr>
          <w:rFonts w:ascii="FrankRuehl" w:hAnsi="FrankRuehl" w:cs="FrankRuehl"/>
          <w:sz w:val="24"/>
          <w:szCs w:val="24"/>
        </w:rPr>
      </w:pPr>
      <w:r w:rsidRPr="00842BDB">
        <w:rPr>
          <w:rFonts w:ascii="FrankRuehl" w:hAnsi="FrankRuehl" w:cs="FrankRuehl"/>
          <w:sz w:val="24"/>
          <w:szCs w:val="24"/>
          <w:rtl/>
        </w:rPr>
        <w:t xml:space="preserve">במהלך שמיעת הראיות חזר בו המומחה מהמלצותיו בדבר השבת הקטינים להתגורר באזור השפלה והמליץ על בחינה חוזרת של הסוגיה כעבור כשנה. </w:t>
      </w:r>
    </w:p>
    <w:p w:rsidR="00842BDB" w:rsidRPr="00842BDB" w:rsidRDefault="00842BDB" w:rsidP="00842BDB">
      <w:pPr>
        <w:pStyle w:val="a5"/>
        <w:numPr>
          <w:ilvl w:val="0"/>
          <w:numId w:val="3"/>
        </w:numPr>
        <w:tabs>
          <w:tab w:val="clear" w:pos="4153"/>
          <w:tab w:val="clear" w:pos="8306"/>
        </w:tabs>
        <w:spacing w:line="360" w:lineRule="auto"/>
        <w:jc w:val="both"/>
        <w:rPr>
          <w:rFonts w:ascii="FrankRuehl" w:hAnsi="FrankRuehl" w:cs="FrankRuehl"/>
          <w:sz w:val="24"/>
          <w:szCs w:val="24"/>
          <w:rtl/>
        </w:rPr>
      </w:pPr>
      <w:r w:rsidRPr="00842BDB">
        <w:rPr>
          <w:rFonts w:ascii="FrankRuehl" w:hAnsi="FrankRuehl" w:cs="FrankRuehl"/>
          <w:sz w:val="24"/>
          <w:szCs w:val="24"/>
          <w:rtl/>
        </w:rPr>
        <w:t xml:space="preserve">בסמוך לאירועים אלה חלתה האם, למרבה הצער, במחלה קשה. </w:t>
      </w:r>
    </w:p>
    <w:p w:rsidR="00842BDB" w:rsidRPr="00842BDB" w:rsidRDefault="00842BDB" w:rsidP="00842BDB">
      <w:pPr>
        <w:pStyle w:val="a5"/>
        <w:numPr>
          <w:ilvl w:val="0"/>
          <w:numId w:val="3"/>
        </w:numPr>
        <w:tabs>
          <w:tab w:val="clear" w:pos="4153"/>
          <w:tab w:val="clear" w:pos="8306"/>
        </w:tabs>
        <w:spacing w:line="360" w:lineRule="auto"/>
        <w:jc w:val="both"/>
        <w:rPr>
          <w:rFonts w:ascii="FrankRuehl" w:hAnsi="FrankRuehl" w:cs="FrankRuehl"/>
          <w:sz w:val="24"/>
          <w:szCs w:val="24"/>
          <w:rtl/>
        </w:rPr>
      </w:pPr>
      <w:r w:rsidRPr="00842BDB">
        <w:rPr>
          <w:rFonts w:ascii="FrankRuehl" w:hAnsi="FrankRuehl" w:cs="FrankRuehl"/>
          <w:sz w:val="24"/>
          <w:szCs w:val="24"/>
          <w:rtl/>
        </w:rPr>
        <w:t>בפסק הדין העדיף בית המשפט את המלצות תסקירי גורמי הרווחה וכן עמד על פגמים של ממש בחוות הדעת. הובהר שחוות הדעת נשענה על מסד נתונים חסר בין היתר על אודות מצבם המורכב של הילדים ושל האם; ואשר נתנה משקל יתר בעיקר לאינטרסים המוצהרים של האב. זאת, גם אלמלא היה חוזר בו המומחה מחוות דעתו.</w:t>
      </w:r>
    </w:p>
    <w:p w:rsidR="00842BDB" w:rsidRPr="00842BDB" w:rsidRDefault="00842BDB" w:rsidP="00842BDB">
      <w:pPr>
        <w:pStyle w:val="a5"/>
        <w:numPr>
          <w:ilvl w:val="0"/>
          <w:numId w:val="3"/>
        </w:numPr>
        <w:tabs>
          <w:tab w:val="clear" w:pos="4153"/>
          <w:tab w:val="clear" w:pos="8306"/>
        </w:tabs>
        <w:spacing w:line="360" w:lineRule="auto"/>
        <w:jc w:val="both"/>
        <w:rPr>
          <w:rFonts w:ascii="FrankRuehl" w:hAnsi="FrankRuehl" w:cs="FrankRuehl"/>
          <w:sz w:val="24"/>
          <w:szCs w:val="24"/>
        </w:rPr>
      </w:pPr>
      <w:r w:rsidRPr="00842BDB">
        <w:rPr>
          <w:rFonts w:ascii="FrankRuehl" w:hAnsi="FrankRuehl" w:cs="FrankRuehl"/>
          <w:sz w:val="24"/>
          <w:szCs w:val="24"/>
          <w:rtl/>
        </w:rPr>
        <w:t xml:space="preserve">בית המשפט נתן דגש לדומיננטיות של האם בחיי הילדים עוד בעת שההורים התגוררו בצוותא, אשר שימשה ומשמשת כמטפלת העיקרית בילדים. כן הובהר כי עסקינן במרחק אשר מאפשר לקיים הורות דומיננטית ומיטיבה, עם כל ההכבדה הכרוכה בכך; וניתן משקל לכך שבתגובה לאישור הזמני למעבר הילדים לשרון, בחר </w:t>
      </w:r>
      <w:r w:rsidRPr="00842BDB">
        <w:rPr>
          <w:rFonts w:ascii="FrankRuehl" w:hAnsi="FrankRuehl" w:cs="FrankRuehl"/>
          <w:sz w:val="24"/>
          <w:szCs w:val="24"/>
          <w:u w:val="single"/>
          <w:rtl/>
        </w:rPr>
        <w:t>לצמצם</w:t>
      </w:r>
      <w:r w:rsidRPr="00842BDB">
        <w:rPr>
          <w:rFonts w:ascii="FrankRuehl" w:hAnsi="FrankRuehl" w:cs="FrankRuehl"/>
          <w:sz w:val="24"/>
          <w:szCs w:val="24"/>
          <w:rtl/>
        </w:rPr>
        <w:t xml:space="preserve"> את זמני השהות מעבר לאלו שהוצעו לו.</w:t>
      </w:r>
    </w:p>
    <w:p w:rsidR="00842BDB" w:rsidRPr="00842BDB" w:rsidRDefault="00842BDB" w:rsidP="00842BDB">
      <w:pPr>
        <w:pStyle w:val="a9"/>
        <w:spacing w:line="360" w:lineRule="auto"/>
        <w:rPr>
          <w:rFonts w:ascii="FrankRuehl" w:hAnsi="FrankRuehl" w:cs="FrankRuehl"/>
          <w:rtl/>
        </w:rPr>
      </w:pPr>
    </w:p>
    <w:p w:rsidR="00842BDB" w:rsidRPr="00842BDB" w:rsidRDefault="00842BDB" w:rsidP="00842BDB">
      <w:pPr>
        <w:pStyle w:val="a5"/>
        <w:numPr>
          <w:ilvl w:val="0"/>
          <w:numId w:val="3"/>
        </w:numPr>
        <w:tabs>
          <w:tab w:val="clear" w:pos="4153"/>
          <w:tab w:val="clear" w:pos="8306"/>
        </w:tabs>
        <w:spacing w:line="360" w:lineRule="auto"/>
        <w:jc w:val="both"/>
        <w:rPr>
          <w:rFonts w:ascii="FrankRuehl" w:hAnsi="FrankRuehl" w:cs="FrankRuehl"/>
          <w:sz w:val="24"/>
          <w:szCs w:val="24"/>
          <w:rtl/>
        </w:rPr>
      </w:pPr>
      <w:r w:rsidRPr="00842BDB">
        <w:rPr>
          <w:rFonts w:ascii="FrankRuehl" w:hAnsi="FrankRuehl" w:cs="FrankRuehl"/>
          <w:sz w:val="24"/>
          <w:szCs w:val="24"/>
          <w:rtl/>
        </w:rPr>
        <w:lastRenderedPageBreak/>
        <w:t xml:space="preserve">עוד ניתן משקל לכך שגם לאחר האונס הקשה שעברה האם בחר האב להתנהל בכוחנות מולה – הן בחיי היום-יום והן בזירה המשפטית; להיעדר היכולת – בעיקר של האב – בצלו של הקונפליקט ההורי, לגלות חמלה ואמפטיה למצבה של האם כמו גם של הילדים; וכי גורמי הרווחה מצאו להעריך גם בסמוך לאחר האונס את מסוכנותו של האב כלפי האם כבינונית. </w:t>
      </w:r>
    </w:p>
    <w:p w:rsidR="00842BDB" w:rsidRPr="00842BDB" w:rsidRDefault="00842BDB" w:rsidP="00842BDB">
      <w:pPr>
        <w:pStyle w:val="a5"/>
        <w:numPr>
          <w:ilvl w:val="0"/>
          <w:numId w:val="3"/>
        </w:numPr>
        <w:tabs>
          <w:tab w:val="clear" w:pos="4153"/>
          <w:tab w:val="clear" w:pos="8306"/>
        </w:tabs>
        <w:spacing w:line="360" w:lineRule="auto"/>
        <w:jc w:val="both"/>
        <w:rPr>
          <w:rFonts w:ascii="FrankRuehl" w:hAnsi="FrankRuehl" w:cs="FrankRuehl"/>
          <w:sz w:val="24"/>
          <w:szCs w:val="24"/>
          <w:rtl/>
        </w:rPr>
      </w:pPr>
      <w:r w:rsidRPr="00842BDB">
        <w:rPr>
          <w:rFonts w:ascii="FrankRuehl" w:hAnsi="FrankRuehl" w:cs="FrankRuehl"/>
          <w:sz w:val="24"/>
          <w:szCs w:val="24"/>
          <w:rtl/>
        </w:rPr>
        <w:t xml:space="preserve">הובהר כי בעיר בשרון זוכים האם והילדים למעטפת טיפולית משמעותית כמו גם לסיוע ניכר מבני המשפחה הגרעינית. כן נקבע, כי לאחר המעבר לשרון מצבם של הילדים הוטב במידת מה ומנגד האם אפשרה באופן פעיל לאב  לקיים זמני שהות והורות עם הילדים גם לאחר המעבר. </w:t>
      </w:r>
    </w:p>
    <w:p w:rsidR="00842BDB" w:rsidRPr="00842BDB" w:rsidRDefault="00842BDB" w:rsidP="00842BDB">
      <w:pPr>
        <w:pStyle w:val="a5"/>
        <w:numPr>
          <w:ilvl w:val="0"/>
          <w:numId w:val="3"/>
        </w:numPr>
        <w:tabs>
          <w:tab w:val="clear" w:pos="4153"/>
          <w:tab w:val="clear" w:pos="8306"/>
        </w:tabs>
        <w:spacing w:line="360" w:lineRule="auto"/>
        <w:jc w:val="both"/>
        <w:rPr>
          <w:rFonts w:ascii="FrankRuehl" w:hAnsi="FrankRuehl" w:cs="FrankRuehl"/>
          <w:sz w:val="24"/>
          <w:szCs w:val="24"/>
          <w:rtl/>
        </w:rPr>
      </w:pPr>
      <w:r w:rsidRPr="00842BDB">
        <w:rPr>
          <w:rFonts w:ascii="FrankRuehl" w:hAnsi="FrankRuehl" w:cs="FrankRuehl"/>
          <w:sz w:val="24"/>
          <w:szCs w:val="24"/>
          <w:rtl/>
        </w:rPr>
        <w:t>הובהר כי גם בנסיבות של מעבר הילדים לשרון, ניתן יהיה לאפשר מתווה של הורות מיטיבה ומשמעותית לילדים ולאב ונקבע מתווה שכזה, שכלל בין היתר זמני שהות מוגברים בסופי השבוע.</w:t>
      </w:r>
    </w:p>
    <w:p w:rsidR="00842BDB" w:rsidRPr="00842BDB" w:rsidRDefault="00842BDB" w:rsidP="00842BDB">
      <w:pPr>
        <w:pStyle w:val="a5"/>
        <w:numPr>
          <w:ilvl w:val="0"/>
          <w:numId w:val="3"/>
        </w:numPr>
        <w:tabs>
          <w:tab w:val="clear" w:pos="4153"/>
          <w:tab w:val="clear" w:pos="8306"/>
        </w:tabs>
        <w:spacing w:line="360" w:lineRule="auto"/>
        <w:jc w:val="both"/>
        <w:rPr>
          <w:rFonts w:ascii="FrankRuehl" w:hAnsi="FrankRuehl" w:cs="FrankRuehl"/>
          <w:sz w:val="24"/>
          <w:szCs w:val="24"/>
          <w:rtl/>
        </w:rPr>
      </w:pPr>
      <w:r w:rsidRPr="00842BDB">
        <w:rPr>
          <w:rFonts w:ascii="FrankRuehl" w:hAnsi="FrankRuehl" w:cs="FrankRuehl"/>
          <w:sz w:val="24"/>
          <w:szCs w:val="24"/>
          <w:rtl/>
        </w:rPr>
        <w:t>בית המשפט מצא להקדיש פרק בפסק הדין לדיון במשמעותה של חמלה אגב ניהולו של ההליך השיפוטי, כחלק ממסד השיקולים שראוי וניתן להידרש להם, במיוחד בין כתלי בית המשפט לענייני משפחה. זאת, שעה שמקומה של החמלה נפקד ממארג היחסים בין ההורים.</w:t>
      </w:r>
    </w:p>
    <w:p w:rsidR="00842BDB" w:rsidRPr="00842BDB" w:rsidRDefault="00842BDB" w:rsidP="00842BDB">
      <w:pPr>
        <w:pStyle w:val="a5"/>
        <w:numPr>
          <w:ilvl w:val="0"/>
          <w:numId w:val="3"/>
        </w:numPr>
        <w:tabs>
          <w:tab w:val="clear" w:pos="4153"/>
          <w:tab w:val="clear" w:pos="8306"/>
        </w:tabs>
        <w:spacing w:line="360" w:lineRule="auto"/>
        <w:jc w:val="both"/>
        <w:rPr>
          <w:rFonts w:ascii="FrankRuehl" w:hAnsi="FrankRuehl" w:cs="FrankRuehl"/>
          <w:sz w:val="24"/>
          <w:szCs w:val="24"/>
          <w:rtl/>
        </w:rPr>
      </w:pPr>
      <w:r w:rsidRPr="00842BDB">
        <w:rPr>
          <w:rFonts w:ascii="FrankRuehl" w:hAnsi="FrankRuehl" w:cs="FrankRuehl"/>
          <w:sz w:val="24"/>
          <w:szCs w:val="24"/>
          <w:rtl/>
        </w:rPr>
        <w:t xml:space="preserve">בסיומו של ההליך, נקבע ביתה של האם כבית המרכזי לקטינים; נקבעה אחריותם המשותפת לקטינים, ונקבע מנגנון זמני שהות קונקרטי בין האב ובין הקטינים שיאפשר את המשך ההחלמה של האם ושל הקטינים מחד גיסא, ואת המשך שימור וחיזוק הקשר בין האב ובין הקטינים מאידך גיסא. </w:t>
      </w:r>
    </w:p>
    <w:p w:rsidR="00842BDB" w:rsidRPr="00842BDB" w:rsidRDefault="00842BDB" w:rsidP="00842BDB">
      <w:pPr>
        <w:pStyle w:val="a5"/>
        <w:tabs>
          <w:tab w:val="clear" w:pos="4153"/>
          <w:tab w:val="clear" w:pos="8306"/>
        </w:tabs>
        <w:spacing w:line="360" w:lineRule="auto"/>
        <w:ind w:left="357"/>
        <w:jc w:val="both"/>
        <w:rPr>
          <w:rFonts w:ascii="FrankRuehl" w:hAnsi="FrankRuehl" w:cs="FrankRuehl"/>
          <w:rtl/>
        </w:rPr>
      </w:pPr>
    </w:p>
    <w:p w:rsidR="00EA6DF3" w:rsidRPr="00842BDB" w:rsidRDefault="00EA6DF3" w:rsidP="00842BDB">
      <w:pPr>
        <w:spacing w:after="0" w:line="360" w:lineRule="auto"/>
        <w:jc w:val="both"/>
        <w:rPr>
          <w:rFonts w:ascii="FrankRuehl" w:hAnsi="FrankRuehl" w:cs="FrankRuehl"/>
          <w:color w:val="323E4F" w:themeColor="text2" w:themeShade="BF"/>
          <w:sz w:val="26"/>
          <w:szCs w:val="26"/>
        </w:rPr>
      </w:pPr>
    </w:p>
    <w:p w:rsidR="00EA6DF3" w:rsidRPr="00842BDB" w:rsidRDefault="00EA6DF3" w:rsidP="00842BDB">
      <w:pPr>
        <w:spacing w:after="0" w:line="360" w:lineRule="auto"/>
        <w:jc w:val="center"/>
        <w:rPr>
          <w:rFonts w:ascii="FrankRuehl" w:hAnsi="FrankRuehl" w:cs="FrankRuehl"/>
          <w:b/>
          <w:bCs/>
          <w:color w:val="002060"/>
          <w:sz w:val="26"/>
          <w:szCs w:val="26"/>
        </w:rPr>
      </w:pPr>
      <w:r w:rsidRPr="00842BDB">
        <w:rPr>
          <w:rFonts w:ascii="FrankRuehl" w:hAnsi="FrankRuehl" w:cs="FrankRuehl"/>
          <w:b/>
          <w:bCs/>
          <w:color w:val="002060"/>
          <w:sz w:val="26"/>
          <w:szCs w:val="26"/>
          <w:rtl/>
        </w:rPr>
        <w:t xml:space="preserve">*** </w:t>
      </w:r>
      <w:r w:rsidR="002E5129" w:rsidRPr="00842BDB">
        <w:rPr>
          <w:rFonts w:ascii="FrankRuehl" w:hAnsi="FrankRuehl" w:cs="FrankRuehl"/>
          <w:b/>
          <w:bCs/>
          <w:color w:val="002060"/>
          <w:sz w:val="26"/>
          <w:szCs w:val="26"/>
          <w:rtl/>
        </w:rPr>
        <w:t xml:space="preserve">התקציר </w:t>
      </w:r>
      <w:r w:rsidR="00C6433A">
        <w:rPr>
          <w:rFonts w:ascii="FrankRuehl" w:hAnsi="FrankRuehl" w:cs="FrankRuehl" w:hint="cs"/>
          <w:b/>
          <w:bCs/>
          <w:color w:val="002060"/>
          <w:sz w:val="26"/>
          <w:szCs w:val="26"/>
          <w:rtl/>
        </w:rPr>
        <w:t xml:space="preserve">אינו </w:t>
      </w:r>
      <w:bookmarkStart w:id="0" w:name="_GoBack"/>
      <w:bookmarkEnd w:id="0"/>
      <w:r w:rsidR="002E5129" w:rsidRPr="00842BDB">
        <w:rPr>
          <w:rFonts w:ascii="FrankRuehl" w:hAnsi="FrankRuehl" w:cs="FrankRuehl"/>
          <w:b/>
          <w:bCs/>
          <w:color w:val="002060"/>
          <w:sz w:val="26"/>
          <w:szCs w:val="26"/>
          <w:rtl/>
        </w:rPr>
        <w:t>מ</w:t>
      </w:r>
      <w:r w:rsidRPr="00842BDB">
        <w:rPr>
          <w:rFonts w:ascii="FrankRuehl" w:hAnsi="FrankRuehl" w:cs="FrankRuehl"/>
          <w:b/>
          <w:bCs/>
          <w:color w:val="002060"/>
          <w:sz w:val="26"/>
          <w:szCs w:val="26"/>
          <w:rtl/>
        </w:rPr>
        <w:t>חליף את פסק-הדין, הנוסח המחייב הוא זה של פסק-הדין המלא ***</w:t>
      </w:r>
    </w:p>
    <w:sectPr w:rsidR="00EA6DF3" w:rsidRPr="00842BDB" w:rsidSect="00B16422">
      <w:headerReference w:type="default" r:id="rId8"/>
      <w:footerReference w:type="default" r:id="rId9"/>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4FCF" w:rsidRDefault="003B4FCF" w:rsidP="00730CA1">
      <w:pPr>
        <w:spacing w:after="0" w:line="240" w:lineRule="auto"/>
      </w:pPr>
      <w:r>
        <w:separator/>
      </w:r>
    </w:p>
  </w:endnote>
  <w:endnote w:type="continuationSeparator" w:id="0">
    <w:p w:rsidR="003B4FCF" w:rsidRDefault="003B4FCF" w:rsidP="00730C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639C" w:rsidRPr="003A639C" w:rsidRDefault="003A639C" w:rsidP="003A639C">
    <w:pPr>
      <w:tabs>
        <w:tab w:val="center" w:pos="4153"/>
        <w:tab w:val="right" w:pos="8306"/>
      </w:tabs>
      <w:spacing w:after="0" w:line="240" w:lineRule="auto"/>
      <w:rPr>
        <w:rFonts w:ascii="Times New Roman" w:eastAsia="Times New Roman" w:hAnsi="Times New Roman" w:cs="FrankRuehl"/>
        <w:b/>
        <w:bCs/>
        <w:color w:val="000080"/>
        <w:spacing w:val="6"/>
        <w:sz w:val="24"/>
        <w:szCs w:val="24"/>
        <w:rtl/>
      </w:rPr>
    </w:pPr>
    <w:r w:rsidRPr="003A639C">
      <w:rPr>
        <w:rFonts w:ascii="Times New Roman" w:eastAsia="Times New Roman" w:hAnsi="Times New Roman" w:cs="FrankRuehl"/>
        <w:b/>
        <w:bCs/>
        <w:color w:val="000080"/>
        <w:spacing w:val="6"/>
        <w:sz w:val="24"/>
        <w:szCs w:val="24"/>
        <w:rtl/>
      </w:rPr>
      <w:t>________________________________________________________________</w:t>
    </w:r>
  </w:p>
  <w:p w:rsidR="003A639C" w:rsidRPr="003A639C" w:rsidRDefault="003A639C" w:rsidP="003A639C">
    <w:pPr>
      <w:tabs>
        <w:tab w:val="center" w:pos="4153"/>
        <w:tab w:val="right" w:pos="8306"/>
      </w:tabs>
      <w:spacing w:after="0" w:line="240" w:lineRule="auto"/>
      <w:jc w:val="center"/>
      <w:rPr>
        <w:rFonts w:ascii="Times New Roman" w:eastAsia="Times New Roman" w:hAnsi="Times New Roman" w:cs="FrankRuehl"/>
        <w:b/>
        <w:bCs/>
        <w:color w:val="000080"/>
        <w:spacing w:val="6"/>
        <w:sz w:val="24"/>
        <w:szCs w:val="24"/>
        <w:rtl/>
      </w:rPr>
    </w:pPr>
    <w:r w:rsidRPr="003A639C">
      <w:rPr>
        <w:rFonts w:ascii="Times New Roman" w:eastAsia="Times New Roman" w:hAnsi="Times New Roman" w:cs="FrankRuehl" w:hint="cs"/>
        <w:b/>
        <w:bCs/>
        <w:color w:val="000080"/>
        <w:spacing w:val="6"/>
        <w:sz w:val="24"/>
        <w:szCs w:val="24"/>
        <w:rtl/>
      </w:rPr>
      <w:t xml:space="preserve">בית משפט העליון | דרך השופט מאיר שמגר 1 | </w:t>
    </w:r>
    <w:proofErr w:type="spellStart"/>
    <w:r w:rsidRPr="003A639C">
      <w:rPr>
        <w:rFonts w:ascii="Times New Roman" w:eastAsia="Times New Roman" w:hAnsi="Times New Roman" w:cs="FrankRuehl" w:hint="cs"/>
        <w:b/>
        <w:bCs/>
        <w:color w:val="000080"/>
        <w:spacing w:val="6"/>
        <w:sz w:val="24"/>
        <w:szCs w:val="24"/>
        <w:rtl/>
      </w:rPr>
      <w:t>קרית</w:t>
    </w:r>
    <w:proofErr w:type="spellEnd"/>
    <w:r w:rsidRPr="003A639C">
      <w:rPr>
        <w:rFonts w:ascii="Times New Roman" w:eastAsia="Times New Roman" w:hAnsi="Times New Roman" w:cs="FrankRuehl" w:hint="cs"/>
        <w:b/>
        <w:bCs/>
        <w:color w:val="000080"/>
        <w:spacing w:val="6"/>
        <w:sz w:val="24"/>
        <w:szCs w:val="24"/>
        <w:rtl/>
      </w:rPr>
      <w:t xml:space="preserve"> בן גוריון | ירושלים</w:t>
    </w:r>
  </w:p>
  <w:p w:rsidR="003C61AF" w:rsidRPr="003A639C" w:rsidRDefault="003A639C" w:rsidP="003A639C">
    <w:pPr>
      <w:tabs>
        <w:tab w:val="center" w:pos="4153"/>
        <w:tab w:val="right" w:pos="8306"/>
      </w:tabs>
      <w:spacing w:after="0" w:line="240" w:lineRule="auto"/>
      <w:jc w:val="center"/>
      <w:rPr>
        <w:rFonts w:ascii="Times New Roman" w:eastAsia="Times New Roman" w:hAnsi="Times New Roman" w:cs="FrankRuehl"/>
        <w:b/>
        <w:bCs/>
        <w:color w:val="000080"/>
        <w:spacing w:val="6"/>
        <w:sz w:val="24"/>
        <w:szCs w:val="24"/>
        <w:rtl/>
      </w:rPr>
    </w:pPr>
    <w:r w:rsidRPr="003A639C">
      <w:rPr>
        <w:rFonts w:ascii="Times New Roman" w:eastAsia="Times New Roman" w:hAnsi="Times New Roman" w:cs="FrankRuehl" w:hint="cs"/>
        <w:b/>
        <w:bCs/>
        <w:color w:val="000080"/>
        <w:spacing w:val="6"/>
        <w:sz w:val="24"/>
        <w:szCs w:val="24"/>
        <w:rtl/>
      </w:rPr>
      <w:t xml:space="preserve">טל: </w:t>
    </w:r>
    <w:r w:rsidRPr="003A639C">
      <w:rPr>
        <w:rFonts w:ascii="Times New Roman" w:eastAsia="Times New Roman" w:hAnsi="Times New Roman" w:cs="FrankRuehl"/>
        <w:b/>
        <w:bCs/>
        <w:color w:val="000080"/>
        <w:spacing w:val="6"/>
        <w:sz w:val="24"/>
        <w:szCs w:val="24"/>
      </w:rPr>
      <w:t>074-7480412</w:t>
    </w:r>
    <w:r w:rsidRPr="003A639C">
      <w:rPr>
        <w:rFonts w:ascii="Times New Roman" w:eastAsia="Times New Roman" w:hAnsi="Times New Roman" w:cs="FrankRuehl" w:hint="cs"/>
        <w:b/>
        <w:bCs/>
        <w:color w:val="000080"/>
        <w:spacing w:val="6"/>
        <w:sz w:val="24"/>
        <w:szCs w:val="24"/>
        <w:rtl/>
      </w:rPr>
      <w:t xml:space="preserve">                       דוא"ל</w:t>
    </w:r>
    <w:r w:rsidRPr="003A639C">
      <w:rPr>
        <w:rFonts w:ascii="Times New Roman" w:eastAsia="Times New Roman" w:hAnsi="Times New Roman" w:cs="FrankRuehl"/>
        <w:b/>
        <w:bCs/>
        <w:color w:val="000080"/>
        <w:spacing w:val="6"/>
        <w:sz w:val="24"/>
        <w:szCs w:val="24"/>
      </w:rPr>
      <w:t>:</w:t>
    </w:r>
    <w:r w:rsidRPr="003A639C">
      <w:rPr>
        <w:rFonts w:ascii="Times New Roman" w:eastAsia="Times New Roman" w:hAnsi="Times New Roman" w:cs="FrankRuehl" w:hint="cs"/>
        <w:b/>
        <w:bCs/>
        <w:color w:val="000080"/>
        <w:spacing w:val="6"/>
        <w:sz w:val="24"/>
        <w:szCs w:val="24"/>
        <w:rtl/>
      </w:rPr>
      <w:t xml:space="preserve">  </w:t>
    </w:r>
    <w:hyperlink r:id="rId1" w:history="1">
      <w:r w:rsidRPr="003A639C">
        <w:rPr>
          <w:rFonts w:ascii="Times New Roman" w:eastAsia="Times New Roman" w:hAnsi="Times New Roman" w:cs="FrankRuehl"/>
          <w:b/>
          <w:bCs/>
          <w:color w:val="0000FF"/>
          <w:spacing w:val="6"/>
          <w:sz w:val="24"/>
          <w:szCs w:val="24"/>
          <w:u w:val="single"/>
        </w:rPr>
        <w:t>Dover@court.gov.il</w:t>
      </w:r>
    </w:hyperlink>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4FCF" w:rsidRDefault="003B4FCF" w:rsidP="00730CA1">
      <w:pPr>
        <w:spacing w:after="0" w:line="240" w:lineRule="auto"/>
      </w:pPr>
      <w:r>
        <w:separator/>
      </w:r>
    </w:p>
  </w:footnote>
  <w:footnote w:type="continuationSeparator" w:id="0">
    <w:p w:rsidR="003B4FCF" w:rsidRDefault="003B4FCF" w:rsidP="00730C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53B2" w:rsidRPr="005253B2"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David"/>
        <w:sz w:val="20"/>
        <w:szCs w:val="24"/>
        <w:lang w:eastAsia="he-IL"/>
      </w:rPr>
    </w:pPr>
    <w:r w:rsidRPr="005253B2">
      <w:rPr>
        <w:rFonts w:ascii="Times New Roman" w:eastAsia="Times New Roman" w:hAnsi="Times New Roman" w:cs="David"/>
        <w:noProof/>
        <w:sz w:val="20"/>
        <w:szCs w:val="24"/>
      </w:rPr>
      <w:drawing>
        <wp:inline distT="0" distB="0" distL="0" distR="0">
          <wp:extent cx="523875" cy="619125"/>
          <wp:effectExtent l="0" t="0" r="9525" b="9525"/>
          <wp:docPr id="1" name="תמונה 2" descr="תיאור: sem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descr="תיאור: seme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3875" cy="619125"/>
                  </a:xfrm>
                  <a:prstGeom prst="rect">
                    <a:avLst/>
                  </a:prstGeom>
                  <a:noFill/>
                  <a:ln>
                    <a:noFill/>
                  </a:ln>
                </pic:spPr>
              </pic:pic>
            </a:graphicData>
          </a:graphic>
        </wp:inline>
      </w:drawing>
    </w:r>
    <w:r w:rsidRPr="005253B2">
      <w:rPr>
        <w:rFonts w:ascii="Century" w:eastAsia="Times New Roman" w:hAnsi="Century" w:cs="FrankRuehl" w:hint="cs"/>
        <w:noProof/>
        <w:spacing w:val="10"/>
        <w:sz w:val="20"/>
        <w:szCs w:val="28"/>
        <w:rtl/>
        <w:lang w:eastAsia="he-IL"/>
      </w:rPr>
      <w:t xml:space="preserve">                                            </w:t>
    </w:r>
  </w:p>
  <w:p w:rsidR="005253B2" w:rsidRPr="005253B2"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FrankRuehl"/>
        <w:b/>
        <w:bCs/>
        <w:color w:val="000080"/>
        <w:spacing w:val="6"/>
        <w:sz w:val="28"/>
        <w:szCs w:val="28"/>
        <w:rtl/>
        <w:lang w:eastAsia="he-IL"/>
      </w:rPr>
    </w:pPr>
    <w:r w:rsidRPr="005253B2">
      <w:rPr>
        <w:rFonts w:ascii="Times New Roman" w:eastAsia="Times New Roman" w:hAnsi="Times New Roman" w:cs="FrankRuehl" w:hint="cs"/>
        <w:b/>
        <w:bCs/>
        <w:color w:val="000080"/>
        <w:spacing w:val="6"/>
        <w:sz w:val="28"/>
        <w:szCs w:val="28"/>
        <w:rtl/>
        <w:lang w:eastAsia="he-IL"/>
      </w:rPr>
      <w:t>מערכת בתי המשפט</w:t>
    </w:r>
  </w:p>
  <w:p w:rsidR="007007D7" w:rsidRPr="005253B2"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FrankRuehl"/>
        <w:b/>
        <w:bCs/>
        <w:color w:val="000080"/>
        <w:spacing w:val="6"/>
        <w:sz w:val="28"/>
        <w:szCs w:val="28"/>
        <w:lang w:eastAsia="he-IL"/>
      </w:rPr>
    </w:pPr>
    <w:r w:rsidRPr="005253B2">
      <w:rPr>
        <w:rFonts w:ascii="Times New Roman" w:eastAsia="Times New Roman" w:hAnsi="Times New Roman" w:cs="FrankRuehl" w:hint="cs"/>
        <w:b/>
        <w:bCs/>
        <w:color w:val="000080"/>
        <w:spacing w:val="6"/>
        <w:sz w:val="28"/>
        <w:szCs w:val="28"/>
        <w:rtl/>
        <w:lang w:eastAsia="he-IL"/>
      </w:rPr>
      <w:t>דוברות והסברה</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57B27"/>
    <w:multiLevelType w:val="multilevel"/>
    <w:tmpl w:val="2EA02F4A"/>
    <w:lvl w:ilvl="0">
      <w:start w:val="1"/>
      <w:numFmt w:val="decimal"/>
      <w:lvlText w:val="%1."/>
      <w:lvlJc w:val="left"/>
      <w:pPr>
        <w:tabs>
          <w:tab w:val="num" w:pos="454"/>
        </w:tabs>
        <w:ind w:left="454" w:hanging="454"/>
      </w:pPr>
      <w:rPr>
        <w:rFonts w:hint="default"/>
        <w:bCs w:val="0"/>
        <w:iCs w:val="0"/>
        <w:szCs w:val="24"/>
      </w:rPr>
    </w:lvl>
    <w:lvl w:ilvl="1">
      <w:start w:val="1"/>
      <w:numFmt w:val="hebrew1"/>
      <w:lvlText w:val="%2."/>
      <w:lvlJc w:val="left"/>
      <w:pPr>
        <w:tabs>
          <w:tab w:val="num" w:pos="907"/>
        </w:tabs>
        <w:ind w:left="908" w:hanging="454"/>
      </w:pPr>
      <w:rPr>
        <w:rFonts w:cs="David" w:hint="cs"/>
        <w:bCs w:val="0"/>
        <w:iCs w:val="0"/>
        <w:szCs w:val="26"/>
      </w:rPr>
    </w:lvl>
    <w:lvl w:ilvl="2">
      <w:start w:val="1"/>
      <w:numFmt w:val="decimal"/>
      <w:lvlText w:val="(%3)"/>
      <w:lvlJc w:val="left"/>
      <w:pPr>
        <w:tabs>
          <w:tab w:val="num" w:pos="1361"/>
        </w:tabs>
        <w:ind w:left="1362" w:hanging="454"/>
      </w:pPr>
      <w:rPr>
        <w:rFonts w:ascii="Times New Roman" w:hAnsi="Times New Roman" w:cs="David" w:hint="default"/>
        <w:b w:val="0"/>
        <w:bCs w:val="0"/>
        <w:i w:val="0"/>
        <w:iCs w:val="0"/>
        <w:sz w:val="24"/>
        <w:szCs w:val="24"/>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lef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left"/>
      <w:pPr>
        <w:ind w:left="4086" w:hanging="454"/>
      </w:pPr>
      <w:rPr>
        <w:rFonts w:hint="default"/>
      </w:rPr>
    </w:lvl>
  </w:abstractNum>
  <w:abstractNum w:abstractNumId="1" w15:restartNumberingAfterBreak="0">
    <w:nsid w:val="774018FD"/>
    <w:multiLevelType w:val="hybridMultilevel"/>
    <w:tmpl w:val="94BC84A0"/>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53CF"/>
    <w:rsid w:val="000011AE"/>
    <w:rsid w:val="00025761"/>
    <w:rsid w:val="000C4D75"/>
    <w:rsid w:val="001D42A7"/>
    <w:rsid w:val="002453CF"/>
    <w:rsid w:val="002C0E83"/>
    <w:rsid w:val="002E5129"/>
    <w:rsid w:val="003921C3"/>
    <w:rsid w:val="003A639C"/>
    <w:rsid w:val="003B4FCF"/>
    <w:rsid w:val="003C61AF"/>
    <w:rsid w:val="003E6E39"/>
    <w:rsid w:val="003E7EB7"/>
    <w:rsid w:val="00426AA7"/>
    <w:rsid w:val="004537F0"/>
    <w:rsid w:val="00515986"/>
    <w:rsid w:val="005253B2"/>
    <w:rsid w:val="00541C9E"/>
    <w:rsid w:val="00631744"/>
    <w:rsid w:val="00690B6F"/>
    <w:rsid w:val="006B7B96"/>
    <w:rsid w:val="006C3B1F"/>
    <w:rsid w:val="006F1E1F"/>
    <w:rsid w:val="007007D7"/>
    <w:rsid w:val="00711675"/>
    <w:rsid w:val="00730CA1"/>
    <w:rsid w:val="007B7899"/>
    <w:rsid w:val="00832AD7"/>
    <w:rsid w:val="00842BDB"/>
    <w:rsid w:val="008C02E0"/>
    <w:rsid w:val="008C15BA"/>
    <w:rsid w:val="00983123"/>
    <w:rsid w:val="009E5C0E"/>
    <w:rsid w:val="00AD7644"/>
    <w:rsid w:val="00B16422"/>
    <w:rsid w:val="00B22AFC"/>
    <w:rsid w:val="00BA3143"/>
    <w:rsid w:val="00BE7B9A"/>
    <w:rsid w:val="00C22E08"/>
    <w:rsid w:val="00C37F37"/>
    <w:rsid w:val="00C50C55"/>
    <w:rsid w:val="00C529CC"/>
    <w:rsid w:val="00C6433A"/>
    <w:rsid w:val="00C842A7"/>
    <w:rsid w:val="00C85A27"/>
    <w:rsid w:val="00CA2D6A"/>
    <w:rsid w:val="00CB4940"/>
    <w:rsid w:val="00CD280B"/>
    <w:rsid w:val="00CE7912"/>
    <w:rsid w:val="00D11F77"/>
    <w:rsid w:val="00D205AB"/>
    <w:rsid w:val="00D43C0E"/>
    <w:rsid w:val="00D5319F"/>
    <w:rsid w:val="00E35DF3"/>
    <w:rsid w:val="00EA6DF3"/>
    <w:rsid w:val="00EB6609"/>
    <w:rsid w:val="00F46250"/>
    <w:rsid w:val="00FF555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7B8221"/>
  <w15:chartTrackingRefBased/>
  <w15:docId w15:val="{73C43B57-6867-4F06-9DF1-55588D3D5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26AA7"/>
    <w:pPr>
      <w:spacing w:after="0" w:line="240" w:lineRule="auto"/>
    </w:pPr>
    <w:rPr>
      <w:rFonts w:ascii="Tahoma" w:hAnsi="Tahoma" w:cs="Tahoma"/>
      <w:sz w:val="18"/>
      <w:szCs w:val="18"/>
    </w:rPr>
  </w:style>
  <w:style w:type="character" w:customStyle="1" w:styleId="a4">
    <w:name w:val="טקסט בלונים תו"/>
    <w:basedOn w:val="a0"/>
    <w:link w:val="a3"/>
    <w:uiPriority w:val="99"/>
    <w:semiHidden/>
    <w:rsid w:val="00426AA7"/>
    <w:rPr>
      <w:rFonts w:ascii="Tahoma" w:hAnsi="Tahoma" w:cs="Tahoma"/>
      <w:sz w:val="18"/>
      <w:szCs w:val="18"/>
    </w:rPr>
  </w:style>
  <w:style w:type="character" w:styleId="Hyperlink">
    <w:name w:val="Hyperlink"/>
    <w:basedOn w:val="a0"/>
    <w:uiPriority w:val="99"/>
    <w:unhideWhenUsed/>
    <w:rsid w:val="00E35DF3"/>
    <w:rPr>
      <w:color w:val="0563C1" w:themeColor="hyperlink"/>
      <w:u w:val="single"/>
    </w:rPr>
  </w:style>
  <w:style w:type="paragraph" w:styleId="a5">
    <w:name w:val="header"/>
    <w:basedOn w:val="a"/>
    <w:link w:val="a6"/>
    <w:unhideWhenUsed/>
    <w:rsid w:val="00730CA1"/>
    <w:pPr>
      <w:tabs>
        <w:tab w:val="center" w:pos="4153"/>
        <w:tab w:val="right" w:pos="8306"/>
      </w:tabs>
      <w:spacing w:after="0" w:line="240" w:lineRule="auto"/>
    </w:pPr>
  </w:style>
  <w:style w:type="character" w:customStyle="1" w:styleId="a6">
    <w:name w:val="כותרת עליונה תו"/>
    <w:basedOn w:val="a0"/>
    <w:link w:val="a5"/>
    <w:rsid w:val="00730CA1"/>
  </w:style>
  <w:style w:type="paragraph" w:styleId="a7">
    <w:name w:val="footer"/>
    <w:basedOn w:val="a"/>
    <w:link w:val="a8"/>
    <w:uiPriority w:val="99"/>
    <w:unhideWhenUsed/>
    <w:rsid w:val="00730CA1"/>
    <w:pPr>
      <w:tabs>
        <w:tab w:val="center" w:pos="4153"/>
        <w:tab w:val="right" w:pos="8306"/>
      </w:tabs>
      <w:spacing w:after="0" w:line="240" w:lineRule="auto"/>
    </w:pPr>
  </w:style>
  <w:style w:type="character" w:customStyle="1" w:styleId="a8">
    <w:name w:val="כותרת תחתונה תו"/>
    <w:basedOn w:val="a0"/>
    <w:link w:val="a7"/>
    <w:uiPriority w:val="99"/>
    <w:rsid w:val="00730CA1"/>
  </w:style>
  <w:style w:type="paragraph" w:styleId="a9">
    <w:name w:val="List Paragraph"/>
    <w:basedOn w:val="a"/>
    <w:uiPriority w:val="34"/>
    <w:qFormat/>
    <w:rsid w:val="00BE7B9A"/>
    <w:pPr>
      <w:spacing w:after="0" w:line="240" w:lineRule="auto"/>
      <w:ind w:left="720"/>
    </w:pPr>
    <w:rPr>
      <w:rFonts w:ascii="Times New Roman" w:eastAsia="Times New Roman" w:hAnsi="Times New Roman" w:cs="Times New Roman"/>
      <w:sz w:val="24"/>
      <w:szCs w:val="24"/>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3739060">
      <w:bodyDiv w:val="1"/>
      <w:marLeft w:val="0"/>
      <w:marRight w:val="0"/>
      <w:marTop w:val="0"/>
      <w:marBottom w:val="0"/>
      <w:divBdr>
        <w:top w:val="none" w:sz="0" w:space="0" w:color="auto"/>
        <w:left w:val="none" w:sz="0" w:space="0" w:color="auto"/>
        <w:bottom w:val="none" w:sz="0" w:space="0" w:color="auto"/>
        <w:right w:val="none" w:sz="0" w:space="0" w:color="auto"/>
      </w:divBdr>
    </w:div>
    <w:div w:id="1171139320">
      <w:bodyDiv w:val="1"/>
      <w:marLeft w:val="0"/>
      <w:marRight w:val="0"/>
      <w:marTop w:val="0"/>
      <w:marBottom w:val="0"/>
      <w:divBdr>
        <w:top w:val="none" w:sz="0" w:space="0" w:color="auto"/>
        <w:left w:val="none" w:sz="0" w:space="0" w:color="auto"/>
        <w:bottom w:val="none" w:sz="0" w:space="0" w:color="auto"/>
        <w:right w:val="none" w:sz="0" w:space="0" w:color="auto"/>
      </w:divBdr>
    </w:div>
    <w:div w:id="1552304460">
      <w:bodyDiv w:val="1"/>
      <w:marLeft w:val="0"/>
      <w:marRight w:val="0"/>
      <w:marTop w:val="0"/>
      <w:marBottom w:val="0"/>
      <w:divBdr>
        <w:top w:val="none" w:sz="0" w:space="0" w:color="auto"/>
        <w:left w:val="none" w:sz="0" w:space="0" w:color="auto"/>
        <w:bottom w:val="none" w:sz="0" w:space="0" w:color="auto"/>
        <w:right w:val="none" w:sz="0" w:space="0" w:color="auto"/>
      </w:divBdr>
    </w:div>
    <w:div w:id="2064255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Dover@court.gov.i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CD2E6125-85B2-4BBA-AD98-79DD27AE68DF}">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565</Words>
  <Characters>2830</Characters>
  <Application>Microsoft Office Word</Application>
  <DocSecurity>0</DocSecurity>
  <Lines>23</Lines>
  <Paragraphs>6</Paragraphs>
  <ScaleCrop>false</ScaleCrop>
  <HeadingPairs>
    <vt:vector size="2" baseType="variant">
      <vt:variant>
        <vt:lpstr>שם</vt:lpstr>
      </vt:variant>
      <vt:variant>
        <vt:i4>1</vt:i4>
      </vt:variant>
    </vt:vector>
  </HeadingPairs>
  <TitlesOfParts>
    <vt:vector size="1" baseType="lpstr">
      <vt:lpstr/>
    </vt:vector>
  </TitlesOfParts>
  <Company>court</Company>
  <LinksUpToDate>false</LinksUpToDate>
  <CharactersWithSpaces>3389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נירית לזימי</dc:creator>
  <cp:keywords/>
  <dc:description/>
  <cp:lastModifiedBy>רותם כהן</cp:lastModifiedBy>
  <cp:revision>2</cp:revision>
  <cp:lastPrinted>2017-11-13T12:38:00Z</cp:lastPrinted>
  <dcterms:created xsi:type="dcterms:W3CDTF">2024-10-15T08:30:00Z</dcterms:created>
  <dcterms:modified xsi:type="dcterms:W3CDTF">2024-10-15T08:30:00Z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DateEng">
    <vt:lpwstr>12 באוקטובר 2024</vt:lpwstr>
  </property>
  <property fmtid="{D5CDD505-2E9C-101B-9397-08002B2CF9AE}" pid="3" name="DocDateHeb">
    <vt:lpwstr>י' בתשרי תשפ"ה</vt:lpwstr>
  </property>
  <property fmtid="{D5CDD505-2E9C-101B-9397-08002B2CF9AE}" pid="4" name="DocNumber">
    <vt:lpwstr>4700-1039-2024-007603</vt:lpwstr>
  </property>
  <property fmtid="{D5CDD505-2E9C-101B-9397-08002B2CF9AE}" pid="5" name="DocRecipientsName">
    <vt:lpwstr/>
  </property>
  <property fmtid="{D5CDD505-2E9C-101B-9397-08002B2CF9AE}" pid="6" name="DocToName">
    <vt:lpwstr/>
  </property>
  <property fmtid="{D5CDD505-2E9C-101B-9397-08002B2CF9AE}" pid="7" name="DocObjectName">
    <vt:lpwstr>תקציר פסק דין 51498-07-22</vt:lpwstr>
  </property>
</Properties>
</file>